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255</w:t>
      </w:r>
    </w:p>
    <w:p>
      <w:r>
        <w:t>Bundesgericht (BGE), 2008-05-13, DE</w:t>
      </w:r>
    </w:p>
    <w:p>
      <w:r>
        <w:rPr>
          <w:b/>
        </w:rPr>
        <w:t xml:space="preserve">Quelle: </w:t>
      </w:r>
      <w:r>
        <w:t>https://mcp.opencaselaw.ch/entscheid/bge_134 IV 255</w:t>
      </w:r>
    </w:p>
    <w:p>
      <w:r>
        <w:t>FR: ATF 134 IV 255</w:t>
      </w:r>
    </w:p>
    <w:p>
      <w:r>
        <w:t>IT: DTF 134 IV 255</w:t>
      </w:r>
    </w:p>
    <w:p>
      <w:pPr>
        <w:pStyle w:val="Heading2"/>
      </w:pPr>
      <w:r>
        <w:t>Regeste</w:t>
      </w:r>
    </w:p>
    <w:p>
      <w:r>
        <w:t>Regeste Fahrlässige Störung des öffentlichen Verkehrs (Art. 237 Ziff. 2 StGB); Begehung durch Unterlassen aufgrund der Schaffung einer Gefahr (Art. 11 Abs. 2 lit. d StGB); Fahrlässigkeit (Art. 12 Abs. 3 StGB); Begriff des öffentlichen Verkehrs; Kausalität bei Unterlassungen. Tatbestandselemente der fahrlässigen Störung des öffentlichen Verkehrs (E. 4.1). Auch wenn die Ausübung einer bestimmten Tätigkeit durch gesetzliche oder von Verwaltungsbehörden oder Verbänden erlassene Sicherheitsvorschriften geregelt ist, findet das allgemeine Prinzip weiterhin Anwendung, wonach derjenige, der ein Risiko schafft, dessen Verwirklichung zu verhindern hat. Daher hat der Beamte, der ein Risiko geschaffen hat, die angesichts der Umstände notwendigen Vorkehren zu treffen. Er hat vorhersehbare Schäden auch zu verhindern, wenn ihn die einschlägigen Vorschriften nicht zum Handeln anhalten (E. 4.2.1 und 4.2.2). Wer nach der Schaffung einer Gefahr im Sinne von Art. 11 Abs. 2 lit. d StGB passiv bleibt, begeht dadurch eine Fahrlässigkeit im Sinne von Art. 12 Abs. 3 StGB, sofern sein Nichthandeln, nicht aus einer Hinnahme der vorhersehbaren Konsequenzen der vorangehenden Handlung, sondern aus einer Unaufmerksamkeit oder aus einem vorwerfbaren Mangel an Anstrengung resultiert (E. 4.2.3). Die öffentlichen Gewässer im Sinne des BSG sind öffentliche Verkehrswege im Sinne von Art. 237 StGB (E. 4.3.1). Kausalität zwischen einer Unterlassung und der Gefährdung von Verkehrsteilnehmern (E. 4.4).</w:t>
      </w:r>
    </w:p>
    <w:p>
      <w:pPr>
        <w:pStyle w:val="Heading2"/>
      </w:pPr>
      <w:r>
        <w:t>Erwägungen</w:t>
      </w:r>
    </w:p>
    <w:p>
      <w:r>
        <w:rPr>
          <w:b/>
        </w:rPr>
        <w:t>E. 4</w:t>
      </w:r>
    </w:p>
    <w:p>
      <w:r>
        <w:t>Le recourant conteste s'être rendu coupable d'entrave à la circulation publique par négligence, au sens de l' art. 237 ch. 2 CP .</w:t>
      </w:r>
    </w:p>
    <w:p>
      <w:r>
        <w:rPr>
          <w:b/>
        </w:rPr>
        <w:t>E. 4.1</w:t>
      </w:r>
    </w:p>
    <w:p>
      <w:r>
        <w:t>Aux termes de l' art. 237 ch. 1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 art. 237 ch. 2 CP prévoit qu'encourt également cette peine celui qui agit par négligence. BGE 134 IV 255 S. 259 Cette disposition tend à protéger la vie et l'intégrité corporelle des personnes qui prennent part à la circulation publique ( ATF 106 IV 370 consid. 2a p. 371). Par circulation publique, elle vise le déplacement de personnes ou de biens par n'importe quel moyen, notamment sur n'importe quel type d'embarcation (cf. MATTHIAS SCHWAIBOLD, Commentaire bâlois, vol. II, 2 e éd., Bâle 2007, n. 12 ad art. 237 CP p. 1475), en tout lieu (surface ou espace) accessible pour cet usage à un cercle indéterminé de personnes, même si les possibilités d'utilisation de ce lieu sont restreintes de par sa nature ou son but ( ATF 105 IV 41 ; ATF 102 IV 26 consid. a; ATF 101 IV 173 ). Le comportement punissable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(CORBOZ, Les infractions en droit suisse, vol. II, Berne 2002, n. 13 ad art. 237 CP p. 119). D'après la jurisprudence, il suffit que l'acte ait mis en danger la vie ou l'intégrité corporelle d'une seule personne; il n'est pas nécessaire que la mise en danger ait un caractère collectif ( ATF 105 IV 41 consid. 3; ATF 100 IV 54 consid. 5; cf. CORBOZ, op. cit., n. 17-18 ad art. 237 CP p. 119). En revanche, la mise en danger doit être concrète, c'est-à-dire qu'une lésion doit avoir été sérieusement vraisemblable. Ainsi, 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w:t>
      </w:r>
    </w:p>
    <w:p>
      <w:r>
        <w:rPr>
          <w:b/>
        </w:rPr>
        <w:t>E. 4.2</w:t>
      </w:r>
    </w:p>
    <w:p>
      <w:r>
        <w:t>La cour cantonale a considéré que le recourant a commis l'infraction, non pas en faisant installer la palplanche, mais en omettant de faire enlever cet obstacle, au mépris d'une obligation juridique de le supprimer, une fois terminés les travaux de renforcement du Pont de Dorénaz.</w:t>
      </w:r>
    </w:p>
    <w:p>
      <w:r>
        <w:rPr>
          <w:b/>
        </w:rPr>
        <w:t>E. 4.2.1</w:t>
      </w:r>
    </w:p>
    <w:p>
      <w:r>
        <w:t>Une infraction de résultat, qui suppose en général une action, peut aussi être commise par omission si l'auteur est resté passif au mépris d'une obligation juridique qui lui commandait impérieusement d'agir pour éviter le résultat (cf. art. 11 CP ). N'importe quelle obligation juridique ne suffit pas. Il faut qu'elle ait découlé d'une position de garant, c'est-à-dire que l'auteur se soit trouvé dans une situation qui l'obligeait à ce point à protéger un bien déterminé contre des BGE 134 IV 255 S. 260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117 IV 130 consid. 2a p. 132 s.; ATF 113 IV 68 consid. 5b p. 73; GRAVEN/STRÄULI, L'infraction pénale punissable, Berne 1995, p. 79 s.). Le recourant conteste avoir occupé une position de garant. Il se réfère en particulier à l' art. 4 al. 1 let . e de la loi valaisanne du 2 juillet 1982 d'application de la loi fédérale sur la navigation intérieure et de l'accord franco-suisse concernant la navigation sur le Léman (RS/VS 747.2), qui prescrit aux services intéressés du Département des travaux publics de faire enlever les entraves à la navigation sur requête du Département de la police. Il taxe la cour cantonale d'arbitraire pour avoir considéré que cette disposition légale l'obligeait à faire enlever la palplanche, alors qu'il n'en avait jamais été requis par le Département de la police.</w:t>
      </w:r>
    </w:p>
    <w:p>
      <w:r>
        <w:rPr>
          <w:b/>
        </w:rPr>
        <w:t>E. 4.2.2</w:t>
      </w:r>
    </w:p>
    <w:p>
      <w:r>
        <w:t>Conformément à un principe général de l'ordre juridique, celui qui a créé, entretenu ou accru un état de choses susceptible de mettre autrui en danger est tenu de prendre toutes les mesures commandées par les circonstances pour éviter la survenance d'un dommage ou, le cas échéant, l'aggravation de l'atteinte déjà causée ( ATF 101 IV 28 consid. 2b p. 30/31 et les références; cf. parmi d'autres: STRATENWERTH, Schweizerisches Strafrecht, Allgemeiner Teil I, 3 e éd., § 14 n. 18 p. 427 s.; MOREILLON, L'infraction par omission, Genève 1993, n. 461 p. 252; GRAVEN/STRÄULI, L'infraction pénale punissable, Berne 1995, p. 83). Sont exigées les mesures propres à prévenir les conséquences prévisibles de l'abstention, soit les effets que l'on peut attribuer à l'acte préalable en appliquant la théorie de la causalité adéquate (GRAVEN/STRÄULI, op. cit., p. 83; STRATENWERTH, op. cit., Allgemeiner Teil I, § 14 n. 19 p. 428). Lorsque la pratique d'une certaine activité est régie par des prescriptions de sécurité légales ou administratives, ou que des associations spécialisées ont édicté des règles de sécurité dont la pertinence est généralement reconnue par les praticiens, le principe général n'en continue pas moins de s'appliquer.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il ne saurait exciper des lacunes des prescriptions de sécurité légales, BGE 134 IV 255 S. 261 administratives ou associatives applicables (MOREILLON, op. cit., n. 471 p. 257; ATF 106 IV 80 consid. 4a et b p. 81 s.). N'ont pas l'obligation de prendre les précautions visées par le principe ceux dont l'acte préalable n'a pas créé ou accru de risque, ceux dont l'acte n'a pas dépassé la limite du risque admissible, ainsi que ceux qui bénéficient d'un fait justificatif couvrant la lésion potentielle elle-même - par exemple celui qui blesse et met en danger de mort un agresseur qui en veut à sa vie (cf. STRATENWERTH, op. cit., Allgemeiner Teil I, § 14 n. 19-22 p. 428 ss; pour une présentation détaillée de la question en relation avec le droit allemand: ROXIN, Ingerenz und objektive Zurechnung, in Festschrift für Stefan Trechsel, Zurich 2002, p. 551-567). En revanche, l'état de nécessité ne justifiant la mise en danger ou la lésion d'un bien juridique que dans la mesure où il est impossible de sauvegarder autrement un bien supérieur, celui qui a créé le risque en accomplissant un acte justifié par sa nécessité est tenu de prendre toutes les précautions auxquelles il n'est pas nécessaire de renoncer pour sauver le bien supérieur. S'il a été momentanément nécessaire de renoncer à certaines mesures de sécurité, celles-ci doivent être prises dès que possible (cf., en droit allemand, ROXIN, op. cit., n. 6 et 7 p. 565 ss). Celui qui n'agit pas dans une telle situation encourt le même reproche que s'il lésait ou mettait en danger par action le bien qu'il a le devoir de protéger. Dans le cas présent, la cour cantonale a constaté que la navigation à droite du pilier droit du Pont de Dorénaz est, de fait, possible en période de hautes eaux. Selon l'expérience générale de la vie et le cours ordinaire des choses, l'implantation d'une palplanche dans les eaux accessibles d'un fleuve est de nature à provoquer une collision avec une embarcation que le courant pourrait entraîner vers cet obstacle. Partant, le recourant a, en faisant installer la palplanche, créé un danger reconnaissable pour la vie et l'intégrité corporelle des personnes naviguant sur le Rhône. Même si l'installation de cet objet était nécessaire à la réalisation des travaux - et, par là-même, justifiée - le recourant devait prendre des mesures positives pour que le risque d'accident qu'il avait ainsi créé ne se réalise pas - soit, en particulier, faire retirer l'objet dangereux une fois les travaux terminés. Il s'ensuit que, même en l'absence d'une requête du Département de la police, le recourant était tenu depuis la fin des travaux en 1998, en qualité de garant, de faire enlever la palplanche. Il répond de sa passivité comme s'il avait fait poser cet obstacle dans le Rhône sans justification. BGE 134 IV 255 S. 262</w:t>
      </w:r>
    </w:p>
    <w:p>
      <w:r>
        <w:rPr>
          <w:b/>
        </w:rPr>
        <w:t>E. 4.2.3</w:t>
      </w:r>
    </w:p>
    <w:p>
      <w:r>
        <w:t>La négligence est l'imprévoyance coupable commise par celui qui, ne se rendant pas compte des conséquences de son acte, agit sans user des précautions commandées par les circonstances et sa situation personnelle ( art. 12 al. 3 CP ). Ainsi, deux conditions doivent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(cf. STRATENWERTH, op. cit., Allgemeiner Teil I, § 16 n. 16 p. 456). Un comportement dépassant les limites du risque admissible viole le devoir de prudence s'il apparaît qu'au moment des faits, son auteur aurait dû, compte tenu de ses connaissances et de ses capacités, se rendre compte de la mise en danger d'autrui ( ATF 121 IV 10 consid. 3 p. 14).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plus - et, le cas échéant, quelles mesures elle pouvait prendre pour éviter la survenance du résultat dommageable ( ATF 127 IV 34 consid. 2a p. 39; ATF 126 IV 13 consid. 7a/bb p. 17).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(GRAVEN/STRÄULI, op. cit., p. 222 s.). En second lieu, pour qu'il y ait négligence, il faut que la violation du devoir de prudence soit fautive, c'est-à-dire que l'on puisse reprocher à l'auteur, compte tenu de ses circonstances personnelles, une inattention ou un manque d'effort blâmable ( ATF 122 IV 17 consid. 2b p. 19/20, ATF 122 IV 145 consid. 2b/aa p. 148).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 art. 11 al. 2 let . d CP viole par là même les devoirs de la prudence. Il commet par conséquent une négligence, au sens de l' art. 12 al. 3 CP , si son inaction résulte, non d'une BGE 134 IV 255 S. 263 acceptation des conséquences prévisibles de l'acte préalable, mais d'une inattention ou d'un manque d'effort blâmable. En l'espèce, la cour cantonale n'a pas constaté - et le recourant ne prétend du reste pas - que l'utilisation d'un vibrofonceur aurait posé des difficultés techniques telles qu'elle n'aurait pas pu être raisonnablement exigée avant le 6 juillet 2001, ni que le coût de l'opération (6'000 fr.) aurait dépassé les compétences budgétaires du recourant. Par ailleurs, le recourant pouvait se rendre compte qu'un jour, des embarcations pourraient naviguer à proximité de la palplanche et être mises en danger par celle-ci. Il suit de là que l'inaction du recourant avant le 6 juillet 2001 est non seulement contraire à un devoir d'agir pour prévenir la réalisation de risques, mais encore qu'elle est fautive. Partant, elle constitue une négligence au sens de l' art. 12 al. 3 CP . Le premier élément du délit d'entrave à la circulation publique par négligence est donc réalisé.</w:t>
      </w:r>
    </w:p>
    <w:p>
      <w:r>
        <w:rPr>
          <w:b/>
        </w:rPr>
        <w:t>E. 4.3</w:t>
      </w:r>
    </w:p>
    <w:p>
      <w:r>
        <w:t>Le recourant conteste que le maintien de la palplanche dans le Rhône après la fin des travaux ait mis en danger la circulation publique au sens de l' art. 237 CP .</w:t>
      </w:r>
    </w:p>
    <w:p>
      <w:r>
        <w:rPr>
          <w:b/>
        </w:rPr>
        <w:t>E. 4.3.1</w:t>
      </w:r>
    </w:p>
    <w:p>
      <w:r>
        <w:t>En premier lieu, il fait valoir que, tant au moment où la palplanche a été installée qu'à celui de l'accident, le Rhône n'était pas assez fréquenté à la hauteur du Pont de Dorénaz pour constituer une voie de circulation publique . Cet argument tombe à faux. Est une voie ou un lieu de circulation publique au sens de l' art. 237 CP toute surface ou espace que son ayant droit ou la loi ouvre pour cet usage à un cercle indéterminé de personnes (cf. supra consid. 4.1; ATF 105 IV 41 ; ATF 102 IV 26 consid. a; ATF 101 IV 173 ). Elément du domaine public naturel ( art. 664 al. 2 et 3 CC et art. 163 al. 1 de la loi valaisanne du 24 mars 1998 d'application du code civil suisse [LACCS; RS/VS 211.1]), le Rhône constitue - comme toute voie d'eau affectée à l'usage commun (cf. ANDREAS FLÜCKIGER, Gemeingebrauch an oberirdischen öffentlichen Gewässern, insbesondere die Schifffahrt auf Schweizer Gewässern, thèse Bâle 1986, p. 48) - une voie d'eau publique au sens de la loi fédérale du 3 octobre 1975 sur la navigation intérieure (LNI; RS 747.201). En vertu des art. 2 al. 1 et 3 al. 2 LNI, la navigation sur les voies d'eau publiques est libre, sous réserve des interdictions et restrictions que les cantons peuvent édicter dans l'intérêt public ou pour la protection de droits importants. La cour cantonale a constaté que la législation valaisanne n'interdisait pas la navigation non motorisée sur le Rhône entre le Pont de Branson et celui de Dorénaz. Cette portion du fleuve BGE 134 IV 255 S. 264 est dès lors ouverte à tout un chacun pour la navigation non motorisée. Aussi constitue-t-elle, pour ce mode de déplacement, une voie de circulation publique au sens de l' art. 237 CP , indépendamment de sa fréquentation (cf. ATF 88 IV 1 , implicitement).</w:t>
      </w:r>
    </w:p>
    <w:p>
      <w:r>
        <w:rPr>
          <w:b/>
        </w:rPr>
        <w:t>E. 4.3.2</w:t>
      </w:r>
    </w:p>
    <w:p>
      <w:r>
        <w:t>Ensuite, le recourant soutient que, si elle a bien mis en danger l'intégrité corporelle et la vie des occupants du radeau accidenté le 6 juillet 2001, la palplanche n'aurait en revanche jamais créé de danger général pour la circulation. Se fondant sur l'avis de DIETER VON RECHENBERG (Die allgemeine Gefährlichkeit als Vorraussetzung für die Anwendung von Art. 237 Ziff. 2 StGB, in RSJ 47/1951 p. 108 ss), il en conclut que l' art. 237 CP ne pourrait lui être appliqué. Outre que la jurisprudence n'exige pas, pour retenir le délit d'entrave à la circulation publique au sens de l' art. 237 CP , que l'acte reproché à l'auteur ait mis en danger un nombre indéterminé de personnes - la mise en danger concrète de la vie ou de l'intégrité corporelle d'une seule personne étant suffisante (cf. supra, consid. 4.1; ATF 105 IV 41 consid. 3; ATF 100 IV 54 consid. 5; cf. CORBOZ, op. cit., n. 17-18 ad art. 237 CP p. 119; STRATENWERTH, op. cit., Besonderer Teil II, § 32 n. 9 p. 76 s.) - l'opinion contraire de VON RECHENBERG - selon laquelle l'entrave doit non seulement avoir mis en danger concrètement une personne mais encore avoir créé la possibilité d'un danger (mise en danger abstraite) pour un nombre indéterminé de personnes participant à la circulation(op. cit., p. 109 i.f.) - n'est d'aucune utilité au recourant. En effet, l'implantation puis le maintien durable de la palplanche dans une zone accessible en période de hautes eaux étaient propres à mettre en difficulté toute embarcation que le courant pourrait entraîner vers cet obstacle et, partant, à mettre en danger toute personne naviguant sur le Rhône. La palplanche n'a dès lors pas seulement mis concrètement en danger la vie de tous les occupants du radeau accidenté le 6 juillet 2001; elle a encore créé un risque pour l'intégrité corporelle et la vie d'un nombre indéterminé de personnes participant à la circulation publique. C'est du reste pour cette raison que le recourant avait l'obligation de la faire enlever. Même au regard de l'interprétation du texte légal défendue par VON RECHENBERG, le danger constitué par la palplanche entre dès lors bien dans les prévisions de l' art. 237 CP . Le deuxième élément du délit d'entrave à la circulation publique par négligence est ainsi également réalisé.</w:t>
      </w:r>
    </w:p>
    <w:p>
      <w:r>
        <w:rPr>
          <w:b/>
        </w:rPr>
        <w:t>E. 4.4.1</w:t>
      </w:r>
    </w:p>
    <w:p>
      <w:r>
        <w:t>Dans le cas d'un délit d'omission improprement dit, la question de la causalité ne se présente pas de la même manière que si BGE 134 IV 255 S. 265 l'infraction de résultat était réalisée par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117 IV 130 consid. 2a p. 133). En l'espèce, si le recourant avait fait enlever la palplanche avant le 6 juillet 2001, rien n'aurait empêché le conducteur du radeau, après avoir passé le pilier droit du Pont de Dorénaz, de regagner le milieu du fleuve ou, alors, de s'arrêter sur la berge droite - avec des risques de dommages corporels aux jambes moins graves que ceux que les occupants ont effectivement courus en étant précipités à l'eau par le choc - ou encore, en dernier recours, de demander aux occupants de sauter à l'eau - ce qui aurait permis un minimum de préparation avant cette manoeuvre et, partant, d'en réduire quelque peu les risques. En s'abstenant de faire enlever la palplanche avant cette date, le recourant a donc aggravé sensiblement la mise en danger de la vie et de l'intégrité corporelle des occupants du radeau accidenté le 6 juillet 2001. Sa négligence doit ainsi être tenue pour l'une des causes naturelles des dangers courus par ceux-ci.</w:t>
      </w:r>
    </w:p>
    <w:p>
      <w:r>
        <w:rPr>
          <w:b/>
        </w:rPr>
        <w:t>E. 4.4.2</w:t>
      </w:r>
    </w:p>
    <w:p>
      <w:r>
        <w:t>Le recourant soutient que, si on lui imputait à faute d'avoir tardé à faire enlever la palplanche, le lien de causalité adéquate existant entre son comportement et la mise en danger des occupants du radeau accidenté serait alors interrompu par les fautes prépondérantes commises par les organisateurs de l'excursion. Un acte qui est l'une des causes naturelles d'un résultat dommageable en est aussi une cause adéquate s'il était propre, d'après le cours ordinaire des choses et l'expérience générale de la vie, à entraîner un résultat du genre de celui qui s'est produit; il s'agit là d'une question de droit que la cour de céans revoit librement ( ATF 122 IV 17 consid. 2c/bb p. 23; ATF 121 IV 207 consid. 2a p. 212 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BGE 134 IV 255 S. 266 probable et la plus immédiate de l'événement considéré, reléguant à l'arrière-plan tous les autres facteurs qui ont contribué à amener celui-ci, notamment le comportement de l'auteur ( ATF 133 IV 158 consid. 6.1 p. 168; ATF 131 IV 145 consid. 5.2 p. 148 et les arrêts cités). Le maintien d'une palplanche dans des eaux navigables est de nature à provoquer un accident. La négligence du recourant est dès lors bien l'une des causes adéquates de la mise en danger de la vie et de l'intégrité corporelle des occupants du radeau accidenté le 6 juillet 2001. En outre, il n'est pas rare que les usagers du domaine public naturel, sur les eaux navigables comme en montagne, évaluent mal les risques liés à la météo. Il n'est pas rare non plus que ceux qui conduisent des embarcations en eaux vives en perdent la maîtrise. Dès lors, quelle qu'en soit la gravité, les négligences commises par les deux organisateurs, en n'annulant pas l'excursion, et par le conducteur du radeau accidenté, en n'anticipant pas assez son déplacement vers le milieu du fleuve, n'étaient de toute façon pas extraordinaires au point de sortir du cadre des événements auxquels le recourant devait s'attendre. La première condition cumulative de l'interruption du lien de causalité adéquate n'est ainsi pas remplie. Aussi les éléments constitutifs du délit d'entrave à la circulation publique par négligence ( art. 237 ch. 2 CP ) sont-ils tous réunis.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